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F93AB" w14:textId="77777777" w:rsidR="0091363D" w:rsidRPr="007F3B9C" w:rsidRDefault="0091363D" w:rsidP="0091363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14:paraId="0CF0C2FE" w14:textId="77777777" w:rsidR="0091363D" w:rsidRPr="007F3B9C" w:rsidRDefault="0091363D" w:rsidP="0091363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14:paraId="0B7542C6" w14:textId="77777777" w:rsidR="0091363D" w:rsidRPr="007F3B9C" w:rsidRDefault="0091363D" w:rsidP="0091363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14:paraId="2C8F57C2" w14:textId="77777777" w:rsidR="0091363D" w:rsidRPr="007F3B9C" w:rsidRDefault="0091363D" w:rsidP="0091363D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14:paraId="12267F4D" w14:textId="77777777" w:rsidR="0091363D" w:rsidRPr="007F3B9C" w:rsidRDefault="0091363D" w:rsidP="0091363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14:paraId="69EE6DEF" w14:textId="77777777" w:rsidR="0091363D" w:rsidRPr="007F3B9C" w:rsidRDefault="0091363D" w:rsidP="0091363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91363D" w:rsidRPr="007F3B9C" w14:paraId="57A05A6B" w14:textId="77777777" w:rsidTr="00FB4AAE">
        <w:trPr>
          <w:trHeight w:val="242"/>
        </w:trPr>
        <w:tc>
          <w:tcPr>
            <w:tcW w:w="1548" w:type="dxa"/>
            <w:shd w:val="clear" w:color="auto" w:fill="auto"/>
          </w:tcPr>
          <w:p w14:paraId="7AFC562B" w14:textId="77777777" w:rsidR="0091363D" w:rsidRPr="007F3B9C" w:rsidRDefault="0091363D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14:paraId="3D82A27D" w14:textId="77777777" w:rsidR="0091363D" w:rsidRPr="007F3B9C" w:rsidRDefault="0091363D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Davies Ward Phillips &amp; Vineberg LLP</w:t>
            </w:r>
          </w:p>
        </w:tc>
      </w:tr>
    </w:tbl>
    <w:p w14:paraId="3DB99FE0" w14:textId="77777777" w:rsidR="0091363D" w:rsidRPr="007F3B9C" w:rsidRDefault="0091363D" w:rsidP="0091363D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14:paraId="15372886" w14:textId="77777777" w:rsidR="0091363D" w:rsidRPr="007F3B9C" w:rsidRDefault="0091363D" w:rsidP="0091363D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14:paraId="001A4F7C" w14:textId="77777777" w:rsidR="0091363D" w:rsidRPr="007F3B9C" w:rsidRDefault="0091363D" w:rsidP="0091363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Named Insured under the CLLAS policies prior to February 1, 2001 was Davies, Ward &amp; Beck LLP.</w:t>
      </w:r>
    </w:p>
    <w:p w14:paraId="0C68015F" w14:textId="77777777" w:rsidR="0091363D" w:rsidRPr="007F3B9C" w:rsidRDefault="0091363D" w:rsidP="0091363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2001"/>
          <w:attr w:name="Day" w:val="1"/>
          <w:attr w:name="Month" w:val="2"/>
        </w:smartTagPr>
        <w:r w:rsidRPr="007F3B9C">
          <w:rPr>
            <w:rFonts w:ascii="Calibri Light" w:hAnsi="Calibri Light"/>
            <w:spacing w:val="-2"/>
            <w:sz w:val="22"/>
          </w:rPr>
          <w:t>February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, Davies, Ward &amp; Beck LLP merged with Goodman Phillips &amp; Vineberg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>. Effective the same day, the Named Insured was amended to Davies Ward Phillips and Vineberg LLP.  The firm has additional Named Insureds as follows:</w:t>
      </w:r>
    </w:p>
    <w:p w14:paraId="0D094B45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LLP (an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Ontario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14:paraId="389948EF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S.E.N.C.R.L.,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s.r.l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>.</w:t>
      </w:r>
    </w:p>
    <w:p w14:paraId="6B8FD037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s.r.l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. </w:t>
      </w:r>
    </w:p>
    <w:p w14:paraId="0733CDA9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LLP (a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New York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14:paraId="696593A6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</w:t>
      </w:r>
    </w:p>
    <w:p w14:paraId="78DE3D8A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Davies, Ward &amp; Beck LLP </w:t>
      </w:r>
    </w:p>
    <w:p w14:paraId="00EBC91A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&amp; Beck </w:t>
      </w:r>
    </w:p>
    <w:p w14:paraId="708EA88F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DWB Services Limited Partnership (Toronto Service Company)</w:t>
      </w:r>
    </w:p>
    <w:p w14:paraId="2BE5660B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DWPV Services Limited Partnership (Toronto Service Company)</w:t>
      </w:r>
    </w:p>
    <w:p w14:paraId="1A888F30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DWB Management Limited (Toronto Service Company) </w:t>
      </w:r>
    </w:p>
    <w:p w14:paraId="03E9DA17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DWPV Management Limited (Toronto Service Company) </w:t>
      </w:r>
    </w:p>
    <w:p w14:paraId="3D6059EE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Davies Ward &amp; Beck Foundation (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Toronto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14:paraId="3466D46E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Davies Ward Phillips &amp; Vineberg Foundation (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Toronto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14:paraId="67F0590C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DWB Management Services Inc. (General partner of DWB Services Limited Partnership) </w:t>
      </w:r>
    </w:p>
    <w:p w14:paraId="0A952071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DWPV Management Services Inc. (General partner of DWPV Services Limited Partnership) </w:t>
      </w:r>
    </w:p>
    <w:p w14:paraId="160A44ED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G.P. </w:t>
      </w:r>
    </w:p>
    <w:p w14:paraId="23030294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S.E.N.C. </w:t>
      </w:r>
    </w:p>
    <w:p w14:paraId="4586B05F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Phillips &amp; Vineberg</w:t>
      </w:r>
    </w:p>
    <w:p w14:paraId="5B2906B9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Phillips &amp; Vineberg, G.P.</w:t>
      </w:r>
    </w:p>
    <w:p w14:paraId="4FF3DBB8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Phillips &amp; Vineberg S.E.N.C. </w:t>
      </w:r>
    </w:p>
    <w:p w14:paraId="59410CFD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Phillips &amp;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Vineberg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 SA </w:t>
      </w:r>
    </w:p>
    <w:p w14:paraId="2F9C3C60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Phillips &amp;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Vineberg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 Suisse </w:t>
      </w:r>
    </w:p>
    <w:p w14:paraId="17C4E906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(a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Quebec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14:paraId="782C3CDB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(a partnership operating in 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Beijing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>, PRC)</w:t>
      </w:r>
    </w:p>
    <w:p w14:paraId="542787CE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(a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New York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</w:t>
      </w:r>
    </w:p>
    <w:p w14:paraId="0B91D98F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Freeman Phillips &amp; Vineberg (a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Quebec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14:paraId="7553EFC1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GP&amp;V Management Limited Partnership (Montreal Service Company) </w:t>
      </w:r>
    </w:p>
    <w:p w14:paraId="3021B0C8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DWPV (Québec) Management L.P.</w:t>
      </w:r>
    </w:p>
    <w:p w14:paraId="1787B144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Services GP&amp;V Management Limited Partnership (Montreal Service Company) </w:t>
      </w:r>
    </w:p>
    <w:p w14:paraId="4BA8318E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Services DWPV (Québec) S.E.C.</w:t>
      </w:r>
    </w:p>
    <w:p w14:paraId="0E81E2BD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Services GP&amp;V SEC (Montreal Service Company) </w:t>
      </w:r>
    </w:p>
    <w:p w14:paraId="27E43172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Société en Commandite Services GP&amp;V (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Montreal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 Service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Company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) </w:t>
      </w:r>
    </w:p>
    <w:p w14:paraId="7849B282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lastRenderedPageBreak/>
        <w:t xml:space="preserve">GP&amp;V Management Inc. </w:t>
      </w:r>
    </w:p>
    <w:p w14:paraId="3E522C19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DWPV (Québec) Management Inc.</w:t>
      </w:r>
    </w:p>
    <w:p w14:paraId="7172931F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Gestion GP&amp;V Inc. (General Partner of GP&amp;V Management Limited Partnership) </w:t>
      </w:r>
    </w:p>
    <w:p w14:paraId="5382F682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Gestion DWPV (Québec) Inc.</w:t>
      </w:r>
    </w:p>
    <w:p w14:paraId="6237C8F1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P&amp;V Management Ltd. </w:t>
      </w:r>
    </w:p>
    <w:p w14:paraId="1124BF16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Gestion P&amp;V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Ltée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</w:t>
      </w:r>
    </w:p>
    <w:p w14:paraId="49C37A4B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GP&amp;V Foundation Inc. (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Montreal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14:paraId="6B377E23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DWPV (Québec) Foundation Inc.</w:t>
      </w:r>
    </w:p>
    <w:p w14:paraId="4AEEFE53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Foundation GP&amp;V Inc. (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Montreal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14:paraId="4D9F887F" w14:textId="77777777" w:rsidR="0091363D" w:rsidRPr="00C72DC8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C72DC8">
        <w:rPr>
          <w:rFonts w:ascii="Calibri Light" w:hAnsi="Calibri Light"/>
          <w:snapToGrid w:val="0"/>
          <w:sz w:val="22"/>
          <w:szCs w:val="22"/>
          <w:lang w:val="fr-FR"/>
        </w:rPr>
        <w:t>Fondation DWPV (Québec) Inc.</w:t>
      </w:r>
    </w:p>
    <w:p w14:paraId="7C4461E0" w14:textId="77777777" w:rsidR="0091363D" w:rsidRPr="00C72DC8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proofErr w:type="spellStart"/>
      <w:r w:rsidRPr="00C72DC8">
        <w:rPr>
          <w:rFonts w:ascii="Calibri Light" w:hAnsi="Calibri Light"/>
          <w:snapToGrid w:val="0"/>
          <w:sz w:val="22"/>
          <w:szCs w:val="22"/>
          <w:lang w:val="fr-FR"/>
        </w:rPr>
        <w:t>Obsjac</w:t>
      </w:r>
      <w:proofErr w:type="spellEnd"/>
      <w:r w:rsidRPr="00C72DC8">
        <w:rPr>
          <w:rFonts w:ascii="Calibri Light" w:hAnsi="Calibri Light"/>
          <w:snapToGrid w:val="0"/>
          <w:sz w:val="22"/>
          <w:szCs w:val="22"/>
          <w:lang w:val="fr-FR"/>
        </w:rPr>
        <w:t xml:space="preserve"> Services Ltd. </w:t>
      </w:r>
    </w:p>
    <w:p w14:paraId="666BC43C" w14:textId="77777777" w:rsidR="0091363D" w:rsidRPr="007F3B9C" w:rsidRDefault="0091363D" w:rsidP="0091363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Services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Obsjac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Ltée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</w:t>
      </w:r>
    </w:p>
    <w:p w14:paraId="4F54275C" w14:textId="77777777" w:rsidR="0091363D" w:rsidRPr="007F3B9C" w:rsidRDefault="0091363D" w:rsidP="0091363D">
      <w:pPr>
        <w:pStyle w:val="BodyTextIndent3"/>
        <w:tabs>
          <w:tab w:val="clear" w:pos="450"/>
          <w:tab w:val="left" w:pos="360"/>
        </w:tabs>
        <w:spacing w:after="240"/>
        <w:ind w:left="360" w:hanging="360"/>
        <w:rPr>
          <w:rFonts w:ascii="Calibri Light" w:hAnsi="Calibri Light"/>
          <w:snapToGrid w:val="0"/>
          <w:szCs w:val="22"/>
        </w:rPr>
      </w:pPr>
      <w:r w:rsidRPr="007F3B9C">
        <w:rPr>
          <w:rFonts w:ascii="Calibri Light" w:hAnsi="Calibri Light"/>
          <w:snapToGrid w:val="0"/>
          <w:szCs w:val="22"/>
        </w:rPr>
        <w:tab/>
      </w:r>
      <w:proofErr w:type="spellStart"/>
      <w:r w:rsidRPr="007F3B9C">
        <w:rPr>
          <w:rFonts w:ascii="Calibri Light" w:hAnsi="Calibri Light"/>
          <w:snapToGrid w:val="0"/>
          <w:szCs w:val="22"/>
        </w:rPr>
        <w:t>Narbo</w:t>
      </w:r>
      <w:proofErr w:type="spellEnd"/>
      <w:r w:rsidRPr="007F3B9C">
        <w:rPr>
          <w:rFonts w:ascii="Calibri Light" w:hAnsi="Calibri Light"/>
          <w:snapToGrid w:val="0"/>
          <w:szCs w:val="22"/>
        </w:rPr>
        <w:t xml:space="preserve"> Investment Corp. (nominee company used by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napToGrid w:val="0"/>
              <w:szCs w:val="22"/>
            </w:rPr>
            <w:t>Montreal</w:t>
          </w:r>
        </w:smartTag>
      </w:smartTag>
      <w:r w:rsidRPr="007F3B9C">
        <w:rPr>
          <w:rFonts w:ascii="Calibri Light" w:hAnsi="Calibri Light"/>
          <w:snapToGrid w:val="0"/>
          <w:szCs w:val="22"/>
        </w:rPr>
        <w:t xml:space="preserve"> office for certain confidential matters) </w:t>
      </w:r>
    </w:p>
    <w:p w14:paraId="6A76CE09" w14:textId="77777777" w:rsidR="0091363D" w:rsidRPr="007F3B9C" w:rsidRDefault="0091363D" w:rsidP="0091363D">
      <w:pPr>
        <w:spacing w:after="240"/>
        <w:ind w:left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Coverage in respect of the above entities and related Insureds will extend to any liability they may have relating to the activities (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i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) prior to July 1, 2010, of Reinhart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Marville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Torre, a French law firm, previously operating as Davies Ward Phillips &amp; Vineberg and, prior to February 1, 2001, as Goodman Phillips &amp; Vineberg, (ii) prior to February 1, 2001, of Fong &amp; Ng, (iii) prior to February 1, 2001, of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Goodmans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LLP and its predecessors, Goodman Phillips &amp; Vineberg LLP, Goodman Phillips &amp; Vineberg and Goodman &amp; Goodman, all Ontario partnerships, (iv) of Goodman Phillips &amp; Vineberg, the International Partnership, for the purposes of operating offices in Beijing, Hong Kong, New York, Paris, Singapore and Vancouver, (v) of Goodman Phillips &amp; Vineberg, the national affiliation, (vi) of Goodman Phillips &amp; Vineberg, the New York partnership, (vii) of Goodman Phillips &amp; Vineberg, the Hong Kong partnership, (viii) of Goodman Phillips &amp; Vineberg, the partnership operating in Beijing, PRC, (ix) of Goodman Phillips &amp; Vineberg, the partnership operating in Vancouver and (x) of Goodman Phillips &amp; Vineberg, the partnership operating in Singapore.</w:t>
      </w:r>
    </w:p>
    <w:p w14:paraId="6ACB1266" w14:textId="77777777" w:rsidR="0091363D" w:rsidRPr="007F3B9C" w:rsidRDefault="0091363D" w:rsidP="0091363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Goodman Phillips &amp; Vineberg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Montreal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Goodman Phillips &amp; Vineberg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Toronto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had an international partnership known as Goodman Phillips &amp; Vineberg.  The international </w:t>
      </w:r>
      <w:proofErr w:type="gramStart"/>
      <w:r w:rsidRPr="007F3B9C">
        <w:rPr>
          <w:rFonts w:ascii="Calibri Light" w:hAnsi="Calibri Light"/>
          <w:spacing w:val="-2"/>
          <w:sz w:val="22"/>
        </w:rPr>
        <w:t>partnership maintained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offices in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Vancouver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Paris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ountry-region">
        <w:r w:rsidRPr="007F3B9C">
          <w:rPr>
            <w:rFonts w:ascii="Calibri Light" w:hAnsi="Calibri Light"/>
            <w:spacing w:val="-2"/>
            <w:sz w:val="22"/>
          </w:rPr>
          <w:t>Singapore</w:t>
        </w:r>
      </w:smartTag>
      <w:r w:rsidRPr="007F3B9C">
        <w:rPr>
          <w:rFonts w:ascii="Calibri Light" w:hAnsi="Calibri Light"/>
          <w:spacing w:val="-2"/>
          <w:sz w:val="22"/>
        </w:rPr>
        <w:t xml:space="preserve">, Hong Kong and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Beijing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14:paraId="0B8DB8D0" w14:textId="77777777" w:rsidR="0091363D" w:rsidRPr="007F3B9C" w:rsidRDefault="0091363D" w:rsidP="0091363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international partnership dissolved on </w:t>
      </w:r>
      <w:smartTag w:uri="urn:schemas-microsoft-com:office:smarttags" w:element="date">
        <w:smartTagPr>
          <w:attr w:name="Year" w:val="2001"/>
          <w:attr w:name="Day" w:val="1"/>
          <w:attr w:name="Month" w:val="2"/>
        </w:smartTagPr>
        <w:r w:rsidRPr="007F3B9C">
          <w:rPr>
            <w:rFonts w:ascii="Calibri Light" w:hAnsi="Calibri Light"/>
            <w:spacing w:val="-2"/>
            <w:sz w:val="22"/>
          </w:rPr>
          <w:t>February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 when Goodman Phillips &amp; Vineberg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merged with Davies, Ward &amp; Beck LLP.</w:t>
      </w:r>
    </w:p>
    <w:p w14:paraId="56F7AA73" w14:textId="77777777" w:rsidR="0091363D" w:rsidRPr="007F3B9C" w:rsidRDefault="0091363D" w:rsidP="0091363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2001"/>
          <w:attr w:name="Day" w:val="1"/>
          <w:attr w:name="Month" w:val="2"/>
        </w:smartTagPr>
        <w:r w:rsidRPr="007F3B9C">
          <w:rPr>
            <w:rFonts w:ascii="Calibri Light" w:hAnsi="Calibri Light"/>
            <w:spacing w:val="-2"/>
            <w:sz w:val="22"/>
          </w:rPr>
          <w:t>February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, Davies Ward Phillips &amp; Vineberg LLP took over the 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Beijing</w:t>
        </w:r>
      </w:smartTag>
      <w:r w:rsidRPr="007F3B9C">
        <w:rPr>
          <w:rFonts w:ascii="Calibri Light" w:hAnsi="Calibri Light"/>
          <w:spacing w:val="-2"/>
          <w:sz w:val="22"/>
        </w:rPr>
        <w:t xml:space="preserve"> offices of the international partnership and now has offices in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Toronto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>.  The Beijing office was closed at the end of 2004.</w:t>
      </w:r>
    </w:p>
    <w:p w14:paraId="7652E207" w14:textId="77777777" w:rsidR="0091363D" w:rsidRPr="007F3B9C" w:rsidRDefault="0091363D" w:rsidP="0091363D">
      <w:pPr>
        <w:numPr>
          <w:ilvl w:val="0"/>
          <w:numId w:val="2"/>
        </w:numPr>
        <w:tabs>
          <w:tab w:val="left" w:pos="0"/>
          <w:tab w:val="left" w:pos="360"/>
        </w:tabs>
        <w:suppressAutoHyphens/>
        <w:spacing w:after="120"/>
        <w:jc w:val="both"/>
        <w:rPr>
          <w:rFonts w:ascii="Calibri Light" w:hAnsi="Calibri Light"/>
          <w:sz w:val="22"/>
          <w:szCs w:val="22"/>
          <w:u w:val="single"/>
        </w:rPr>
      </w:pPr>
      <w:r w:rsidRPr="007F3B9C">
        <w:rPr>
          <w:rFonts w:ascii="Calibri Light" w:hAnsi="Calibri Light"/>
          <w:sz w:val="22"/>
          <w:szCs w:val="22"/>
        </w:rPr>
        <w:t>The Firm does not have an Associated Firm Endorsement.  Instead, the exposures are handled through the endorsement listing additional Named Insureds.</w:t>
      </w:r>
    </w:p>
    <w:p w14:paraId="731C8741" w14:textId="77777777" w:rsidR="007A46BB" w:rsidRDefault="0091363D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63D"/>
    <w:rsid w:val="007C0D8E"/>
    <w:rsid w:val="0091363D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7C0C7190"/>
  <w15:chartTrackingRefBased/>
  <w15:docId w15:val="{BEDD1B3F-7C59-470B-9A50-88D96489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363D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1363D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91363D"/>
    <w:rPr>
      <w:rFonts w:ascii="Times New Roman" w:eastAsia="Times New Roman" w:hAnsi="Times New Roman" w:cs="Times New Roman"/>
      <w:noProof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91363D"/>
    <w:pPr>
      <w:tabs>
        <w:tab w:val="left" w:pos="0"/>
        <w:tab w:val="left" w:pos="450"/>
      </w:tabs>
      <w:suppressAutoHyphens/>
      <w:ind w:left="450"/>
      <w:jc w:val="both"/>
    </w:pPr>
    <w:rPr>
      <w:rFonts w:ascii="Times New Roman" w:hAnsi="Times New Roman"/>
      <w:spacing w:val="-2"/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91363D"/>
    <w:rPr>
      <w:rFonts w:ascii="Times New Roman" w:eastAsia="Times New Roman" w:hAnsi="Times New Roman" w:cs="Times New Roman"/>
      <w:spacing w:val="-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2018-03-05T14:38:00Z</dcterms:created>
  <dcterms:modified xsi:type="dcterms:W3CDTF">2018-03-05T14:38:00Z</dcterms:modified>
</cp:coreProperties>
</file>